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C83B33" w14:paraId="131B86C3" w14:textId="77777777" w:rsidTr="00B6223A">
        <w:trPr>
          <w:trHeight w:val="652"/>
          <w:jc w:val="center"/>
        </w:trPr>
        <w:tc>
          <w:tcPr>
            <w:tcW w:w="3335" w:type="dxa"/>
            <w:tcBorders>
              <w:right w:val="single" w:sz="4" w:space="0" w:color="44546A" w:themeColor="text2"/>
            </w:tcBorders>
            <w:shd w:val="clear" w:color="auto" w:fill="1F3864" w:themeFill="accent1" w:themeFillShade="80"/>
          </w:tcPr>
          <w:p w14:paraId="3871889E" w14:textId="77777777" w:rsidR="00C83B33" w:rsidRDefault="00C83B33" w:rsidP="00C83B33">
            <w:pPr>
              <w:jc w:val="center"/>
              <w:rPr>
                <w:rFonts w:cs="Arial"/>
                <w:color w:val="FFFFFF" w:themeColor="background1"/>
                <w:sz w:val="32"/>
                <w:szCs w:val="32"/>
                <w:shd w:val="clear" w:color="auto" w:fill="1F3864" w:themeFill="accent1" w:themeFillShade="80"/>
                <w:lang w:val="en-US"/>
              </w:rPr>
            </w:pPr>
          </w:p>
          <w:p w14:paraId="28C1A909" w14:textId="6F23E810" w:rsidR="00C83B33" w:rsidRPr="00906B87" w:rsidRDefault="00C83B33" w:rsidP="00C83B33">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2D72C8">
              <w:rPr>
                <w:rFonts w:cs="Arial"/>
                <w:color w:val="FFFFFF" w:themeColor="background1"/>
                <w:sz w:val="32"/>
                <w:szCs w:val="32"/>
                <w:shd w:val="clear" w:color="auto" w:fill="1F3864" w:themeFill="accent1" w:themeFillShade="80"/>
                <w:lang w:val="en-US"/>
              </w:rPr>
              <w:t>contribution</w:t>
            </w:r>
          </w:p>
          <w:p w14:paraId="53B8847D" w14:textId="2941EC5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4D53440" w14:textId="77777777" w:rsidR="00C83B33" w:rsidRDefault="00C83B33" w:rsidP="00C83B33">
            <w:pPr>
              <w:jc w:val="center"/>
              <w:rPr>
                <w:rFonts w:cs="Arial"/>
                <w:color w:val="FFFFFF" w:themeColor="background1"/>
                <w:sz w:val="32"/>
                <w:szCs w:val="32"/>
                <w:shd w:val="clear" w:color="auto" w:fill="1F3864" w:themeFill="accent1" w:themeFillShade="80"/>
                <w:lang w:val="en-US"/>
              </w:rPr>
            </w:pPr>
          </w:p>
          <w:p w14:paraId="6B26AC0C" w14:textId="5DD19D04" w:rsidR="00742FA8" w:rsidRDefault="00C83B33" w:rsidP="00C83B3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F622AC">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F1A16" w14:paraId="425D15D4" w14:textId="77777777" w:rsidTr="00B6223A">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C83B33" w:rsidRDefault="005728A3" w:rsidP="005728A3">
            <w:pPr>
              <w:jc w:val="right"/>
              <w:rPr>
                <w:rFonts w:cstheme="minorHAnsi"/>
                <w:b/>
                <w:bCs/>
                <w:color w:val="002060"/>
                <w:sz w:val="28"/>
                <w:szCs w:val="28"/>
                <w:lang w:val="en-US"/>
              </w:rPr>
            </w:pPr>
            <w:r w:rsidRPr="00C83B3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B6223A">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59518A9" w:rsidR="006D3771" w:rsidRPr="006D3771" w:rsidRDefault="00AC541D" w:rsidP="006D3771">
            <w:pPr>
              <w:jc w:val="center"/>
              <w:rPr>
                <w:sz w:val="32"/>
                <w:szCs w:val="32"/>
                <w:lang w:val="en-US"/>
              </w:rPr>
            </w:pPr>
            <w:r>
              <w:rPr>
                <w:sz w:val="32"/>
                <w:szCs w:val="32"/>
                <w:lang w:val="en-US"/>
              </w:rPr>
              <w:t>Germany</w:t>
            </w:r>
          </w:p>
          <w:p w14:paraId="1EE0812F" w14:textId="73DF6167" w:rsidR="006D3771" w:rsidRDefault="006D3771">
            <w:pPr>
              <w:rPr>
                <w:lang w:val="en-US"/>
              </w:rPr>
            </w:pPr>
          </w:p>
        </w:tc>
      </w:tr>
    </w:tbl>
    <w:p w14:paraId="7E055280" w14:textId="77777777" w:rsidR="001D0AE0" w:rsidRPr="00546B57" w:rsidRDefault="001D0AE0" w:rsidP="00857FF1">
      <w:pPr>
        <w:pStyle w:val="Default"/>
        <w:rPr>
          <w:color w:val="auto"/>
          <w:sz w:val="22"/>
          <w:szCs w:val="22"/>
          <w:lang w:val="en-US"/>
        </w:rPr>
      </w:pPr>
    </w:p>
    <w:p w14:paraId="5BC2DC82" w14:textId="07CB5583"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1E9C4162" w14:textId="77777777" w:rsidR="00A40D28" w:rsidRPr="00A40D28" w:rsidRDefault="00A40D28" w:rsidP="00A40D28">
      <w:pPr>
        <w:rPr>
          <w:lang w:val="en-US"/>
        </w:rPr>
      </w:pPr>
    </w:p>
    <w:p w14:paraId="77705C06" w14:textId="77777777" w:rsidR="00A5045F" w:rsidRPr="00A5045F" w:rsidRDefault="00A5045F" w:rsidP="00A5045F">
      <w:pPr>
        <w:pStyle w:val="Default"/>
        <w:jc w:val="both"/>
        <w:rPr>
          <w:rFonts w:asciiTheme="minorHAnsi" w:hAnsiTheme="minorHAnsi" w:cstheme="minorHAnsi"/>
          <w:color w:val="auto"/>
          <w:sz w:val="20"/>
          <w:szCs w:val="20"/>
          <w:lang w:val="en-US"/>
        </w:rPr>
      </w:pPr>
      <w:r w:rsidRPr="00A5045F">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C875980" w14:textId="77777777" w:rsidR="00A5045F" w:rsidRPr="00A5045F" w:rsidRDefault="00A5045F" w:rsidP="00A5045F">
      <w:pPr>
        <w:shd w:val="clear" w:color="auto" w:fill="FFFFFF"/>
        <w:spacing w:before="100" w:beforeAutospacing="1" w:after="100" w:afterAutospacing="1"/>
        <w:rPr>
          <w:rFonts w:cstheme="minorHAnsi"/>
          <w:color w:val="161616"/>
          <w:lang w:val="en-US"/>
        </w:rPr>
      </w:pPr>
      <w:r w:rsidRPr="00A5045F">
        <w:rPr>
          <w:rFonts w:cstheme="minorHAnsi"/>
          <w:lang w:val="en-US"/>
        </w:rPr>
        <w:t xml:space="preserve">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A5045F">
          <w:rPr>
            <w:rStyle w:val="Hyperlink"/>
            <w:rFonts w:cstheme="minorHAnsi"/>
            <w:color w:val="007BC8"/>
            <w:lang w:val="en-US"/>
          </w:rPr>
          <w:t>CEPEJ Country fiche - Scoreboard - Germany</w:t>
        </w:r>
      </w:hyperlink>
    </w:p>
    <w:p w14:paraId="5F815F23" w14:textId="77777777" w:rsidR="00A5045F" w:rsidRPr="00A5045F" w:rsidRDefault="00A5045F" w:rsidP="00A5045F">
      <w:pPr>
        <w:pStyle w:val="Default"/>
        <w:jc w:val="both"/>
        <w:rPr>
          <w:rFonts w:asciiTheme="minorHAnsi" w:hAnsiTheme="minorHAnsi" w:cstheme="minorHAnsi"/>
          <w:color w:val="auto"/>
          <w:sz w:val="20"/>
          <w:szCs w:val="20"/>
          <w:lang w:val="en-US"/>
        </w:rPr>
      </w:pPr>
      <w:r w:rsidRPr="00A5045F">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A5045F">
          <w:rPr>
            <w:rStyle w:val="Hyperlink"/>
            <w:rFonts w:asciiTheme="minorHAnsi" w:hAnsiTheme="minorHAnsi" w:cstheme="minorHAnsi"/>
            <w:sz w:val="20"/>
            <w:szCs w:val="20"/>
            <w:lang w:val="en-US"/>
          </w:rPr>
          <w:t>christel.schurrer@coe.int</w:t>
        </w:r>
      </w:hyperlink>
      <w:r w:rsidRPr="00A5045F">
        <w:rPr>
          <w:rFonts w:asciiTheme="minorHAnsi" w:hAnsiTheme="minorHAnsi" w:cstheme="minorHAnsi"/>
          <w:color w:val="auto"/>
          <w:sz w:val="20"/>
          <w:szCs w:val="20"/>
          <w:lang w:val="en-US"/>
        </w:rPr>
        <w:t xml:space="preserve">)  remains at the disposal of European Commission for any question related to these data. </w:t>
      </w:r>
    </w:p>
    <w:p w14:paraId="1E9B2E43" w14:textId="77777777" w:rsidR="002D72C8" w:rsidRPr="00470A51" w:rsidRDefault="002D72C8" w:rsidP="00CF216F">
      <w:pPr>
        <w:rPr>
          <w:lang w:val="en-US"/>
        </w:rPr>
      </w:pPr>
    </w:p>
    <w:p w14:paraId="28651030" w14:textId="77777777" w:rsidR="00032233" w:rsidRPr="00606749" w:rsidRDefault="00032233" w:rsidP="00032233">
      <w:pPr>
        <w:rPr>
          <w:rFonts w:cstheme="minorHAnsi"/>
          <w:lang w:val="en-US"/>
        </w:rPr>
      </w:pPr>
      <w:r w:rsidRPr="00606749">
        <w:rPr>
          <w:rFonts w:cstheme="minorHAnsi"/>
          <w:lang w:val="en-US"/>
        </w:rPr>
        <w:t>The European Commission for Democracy through Law – Venice Commission</w:t>
      </w:r>
    </w:p>
    <w:p w14:paraId="274BCB26" w14:textId="537E1D19" w:rsidR="00032233" w:rsidRPr="00032233" w:rsidRDefault="00000000" w:rsidP="00032233">
      <w:pPr>
        <w:jc w:val="both"/>
        <w:rPr>
          <w:rFonts w:cstheme="minorHAnsi"/>
          <w:color w:val="0070C0"/>
          <w:lang w:val="en-GB"/>
        </w:rPr>
      </w:pPr>
      <w:hyperlink r:id="rId11" w:history="1">
        <w:r w:rsidR="00032233" w:rsidRPr="00032233">
          <w:rPr>
            <w:rStyle w:val="Hyperlink"/>
            <w:rFonts w:cstheme="minorHAnsi"/>
            <w:shd w:val="clear" w:color="auto" w:fill="FFFFFF"/>
            <w:lang w:val="en-US"/>
          </w:rPr>
          <w:t>CDL-AD(2023)020  </w:t>
        </w:r>
      </w:hyperlink>
      <w:r w:rsidR="00032233" w:rsidRPr="00032233">
        <w:rPr>
          <w:rFonts w:cstheme="minorHAnsi"/>
          <w:color w:val="000066"/>
          <w:lang w:val="en-US"/>
        </w:rPr>
        <w:t xml:space="preserve"> </w:t>
      </w:r>
      <w:r w:rsidR="00032233" w:rsidRPr="00032233">
        <w:rPr>
          <w:rFonts w:cstheme="minorHAnsi"/>
          <w:color w:val="000066"/>
          <w:lang w:val="en-US"/>
        </w:rPr>
        <w:br/>
      </w:r>
      <w:r w:rsidR="00032233" w:rsidRPr="00032233">
        <w:rPr>
          <w:rFonts w:cstheme="minorHAnsi"/>
          <w:color w:val="000000" w:themeColor="text1"/>
          <w:shd w:val="clear" w:color="auto" w:fill="FFFFFF"/>
          <w:lang w:val="en-US"/>
        </w:rPr>
        <w:t>Germany - Joint Opinion of the Venice Commission and OSCE/ODIHR on the amendments of the German Federal Election Act, approved by the Council for Democratic Elections at its 77th meeting (8 June 2023) and adopted by the Venice Commission at its 135th Plenary Session (Venice, 9-10 June 2023</w:t>
      </w:r>
      <w:r w:rsidR="00032233" w:rsidRPr="00032233">
        <w:rPr>
          <w:rFonts w:cstheme="minorHAnsi"/>
          <w:color w:val="000000" w:themeColor="text1"/>
          <w:u w:val="single"/>
          <w:shd w:val="clear" w:color="auto" w:fill="FFFFFF"/>
          <w:lang w:val="en-US"/>
        </w:rPr>
        <w:t>)</w:t>
      </w:r>
    </w:p>
    <w:p w14:paraId="554F6997" w14:textId="26C5CC57" w:rsidR="00032233" w:rsidRPr="00CD34B7" w:rsidRDefault="00032233" w:rsidP="00CD34B7">
      <w:pPr>
        <w:jc w:val="both"/>
        <w:rPr>
          <w:rFonts w:ascii="Arial" w:hAnsi="Arial" w:cs="Arial"/>
          <w:lang w:val="en-GB"/>
        </w:rPr>
      </w:pPr>
      <w:r w:rsidRPr="00A75FE9">
        <w:rPr>
          <w:rFonts w:ascii="Arial" w:hAnsi="Arial" w:cs="Arial"/>
          <w:lang w:val="en-GB"/>
        </w:rPr>
        <w:t> </w:t>
      </w:r>
    </w:p>
    <w:p w14:paraId="2E7B1C09" w14:textId="77777777" w:rsidR="00032233" w:rsidRPr="00032233" w:rsidRDefault="00032233" w:rsidP="002D72C8">
      <w:pPr>
        <w:rPr>
          <w:lang w:val="en-US"/>
        </w:rPr>
      </w:pPr>
    </w:p>
    <w:p w14:paraId="191F923E" w14:textId="027D5594" w:rsidR="002D72C8" w:rsidRDefault="002D72C8" w:rsidP="002D72C8">
      <w:pPr>
        <w:rPr>
          <w:lang w:val="en-GB"/>
        </w:rPr>
      </w:pPr>
      <w:r w:rsidRPr="00470A51">
        <w:rPr>
          <w:lang w:val="en-GB"/>
        </w:rPr>
        <w:t xml:space="preserve">Execution of judgments in </w:t>
      </w:r>
      <w:hyperlink r:id="rId12" w:history="1">
        <w:r w:rsidRPr="00470A51">
          <w:rPr>
            <w:rStyle w:val="Hyperlink"/>
            <w:lang w:val="en-GB"/>
          </w:rPr>
          <w:t>Germany</w:t>
        </w:r>
      </w:hyperlink>
      <w:r w:rsidRPr="00470A51">
        <w:rPr>
          <w:lang w:val="en-GB"/>
        </w:rPr>
        <w:t xml:space="preserve"> </w:t>
      </w:r>
    </w:p>
    <w:p w14:paraId="1D48B9C7" w14:textId="0A0BC4D1" w:rsidR="009A183C" w:rsidRDefault="009A183C" w:rsidP="002D72C8">
      <w:pPr>
        <w:rPr>
          <w:lang w:val="en-GB"/>
        </w:rPr>
      </w:pPr>
    </w:p>
    <w:p w14:paraId="5C79AE80" w14:textId="507AF94B" w:rsidR="004A628B" w:rsidRDefault="004A628B" w:rsidP="004A628B">
      <w:pPr>
        <w:pStyle w:val="Heading1"/>
        <w:rPr>
          <w:lang w:val="en-US"/>
        </w:rPr>
      </w:pPr>
      <w:bookmarkStart w:id="1" w:name="_Toc36635832"/>
      <w:r w:rsidRPr="00F622AC">
        <w:rPr>
          <w:lang w:val="en-US"/>
        </w:rPr>
        <w:t>II Anti-corruption framework</w:t>
      </w:r>
      <w:bookmarkEnd w:id="1"/>
      <w:r w:rsidRPr="00F622AC">
        <w:rPr>
          <w:lang w:val="en-US"/>
        </w:rPr>
        <w:t xml:space="preserve"> </w:t>
      </w:r>
    </w:p>
    <w:p w14:paraId="18BA9D2C" w14:textId="4A2C5C2D" w:rsidR="00B31C99" w:rsidRDefault="00B31C99" w:rsidP="00B31C99">
      <w:pPr>
        <w:rPr>
          <w:lang w:val="en-US"/>
        </w:rPr>
      </w:pPr>
    </w:p>
    <w:p w14:paraId="08F7641E" w14:textId="77777777" w:rsidR="00B31C99" w:rsidRDefault="00B31C99" w:rsidP="00B31C99">
      <w:pPr>
        <w:rPr>
          <w:rStyle w:val="Hyperlink"/>
          <w:rFonts w:ascii="Calibri" w:hAnsi="Calibri" w:cs="Calibri"/>
          <w:color w:val="auto"/>
          <w:u w:val="none"/>
          <w:lang w:val="en-GB"/>
        </w:rPr>
      </w:pPr>
      <w:r w:rsidRPr="00B31C99">
        <w:rPr>
          <w:lang w:val="en-US"/>
        </w:rPr>
        <w:t xml:space="preserve">GRECO </w:t>
      </w:r>
      <w:r w:rsidRPr="00470A51">
        <w:rPr>
          <w:rStyle w:val="Hyperlink"/>
          <w:rFonts w:ascii="Calibri" w:hAnsi="Calibri" w:cs="Calibri"/>
          <w:color w:val="auto"/>
          <w:u w:val="none"/>
          <w:lang w:val="en-GB"/>
        </w:rPr>
        <w:t>(</w:t>
      </w:r>
      <w:r>
        <w:rPr>
          <w:rStyle w:val="Hyperlink"/>
          <w:rFonts w:ascii="Calibri" w:hAnsi="Calibri" w:cs="Calibri"/>
          <w:color w:val="auto"/>
          <w:u w:val="none"/>
          <w:lang w:val="en-GB"/>
        </w:rPr>
        <w:t>16 March</w:t>
      </w:r>
      <w:r w:rsidRPr="00470A51">
        <w:rPr>
          <w:rStyle w:val="Hyperlink"/>
          <w:rFonts w:ascii="Calibri" w:hAnsi="Calibri" w:cs="Calibri"/>
          <w:color w:val="auto"/>
          <w:u w:val="none"/>
          <w:lang w:val="en-GB"/>
        </w:rPr>
        <w:t xml:space="preserve"> 202</w:t>
      </w:r>
      <w:r>
        <w:rPr>
          <w:rStyle w:val="Hyperlink"/>
          <w:rFonts w:ascii="Calibri" w:hAnsi="Calibri" w:cs="Calibri"/>
          <w:color w:val="auto"/>
          <w:u w:val="none"/>
          <w:lang w:val="en-GB"/>
        </w:rPr>
        <w:t>3</w:t>
      </w:r>
      <w:r w:rsidRPr="00470A51">
        <w:rPr>
          <w:rStyle w:val="Hyperlink"/>
          <w:rFonts w:ascii="Calibri" w:hAnsi="Calibri" w:cs="Calibri"/>
          <w:color w:val="auto"/>
          <w:u w:val="none"/>
          <w:lang w:val="en-GB"/>
        </w:rPr>
        <w:t>)</w:t>
      </w:r>
    </w:p>
    <w:p w14:paraId="15C8997C" w14:textId="77777777" w:rsidR="00B31C99" w:rsidRDefault="00000000" w:rsidP="00B31C99">
      <w:pPr>
        <w:rPr>
          <w:rStyle w:val="Hyperlink"/>
          <w:rFonts w:ascii="Calibri" w:hAnsi="Calibri" w:cs="Calibri"/>
          <w:shd w:val="clear" w:color="auto" w:fill="FFFFFF"/>
          <w:lang w:val="en-GB"/>
        </w:rPr>
      </w:pPr>
      <w:hyperlink r:id="rId13" w:history="1">
        <w:r w:rsidR="00B31C99" w:rsidRPr="003573A3">
          <w:rPr>
            <w:rStyle w:val="Hyperlink"/>
            <w:rFonts w:ascii="Calibri" w:hAnsi="Calibri" w:cs="Calibri"/>
            <w:shd w:val="clear" w:color="auto" w:fill="FFFFFF"/>
            <w:lang w:val="en-GB"/>
          </w:rPr>
          <w:t xml:space="preserve">Compliance Report </w:t>
        </w:r>
      </w:hyperlink>
    </w:p>
    <w:p w14:paraId="4BB4E191" w14:textId="77777777" w:rsidR="00B31C99" w:rsidRPr="00F8432D" w:rsidRDefault="00B31C99" w:rsidP="00B31C99">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22D91738" w14:textId="77777777" w:rsidR="00B31C99" w:rsidRPr="00B31C99" w:rsidRDefault="00B31C99" w:rsidP="00B31C99">
      <w:pPr>
        <w:rPr>
          <w:lang w:val="en-GB"/>
        </w:rPr>
      </w:pPr>
    </w:p>
    <w:p w14:paraId="3F060345" w14:textId="300DA87F" w:rsidR="004A628B" w:rsidRDefault="001D0AE0" w:rsidP="004A628B">
      <w:pPr>
        <w:pStyle w:val="Heading1"/>
        <w:rPr>
          <w:lang w:val="en-US"/>
        </w:rPr>
      </w:pPr>
      <w:bookmarkStart w:id="2" w:name="_Toc36635845"/>
      <w:r>
        <w:rPr>
          <w:lang w:val="en-US"/>
        </w:rPr>
        <w:lastRenderedPageBreak/>
        <w:t xml:space="preserve">III </w:t>
      </w:r>
      <w:r w:rsidR="004A628B" w:rsidRPr="00546B57">
        <w:rPr>
          <w:lang w:val="en-US"/>
        </w:rPr>
        <w:t>Media pluralism</w:t>
      </w:r>
      <w:bookmarkEnd w:id="2"/>
      <w:r w:rsidR="004A628B" w:rsidRPr="00546B57">
        <w:rPr>
          <w:lang w:val="en-US"/>
        </w:rPr>
        <w:t xml:space="preserve"> </w:t>
      </w:r>
    </w:p>
    <w:p w14:paraId="64B8480E" w14:textId="623DFE60" w:rsidR="004A628B" w:rsidRDefault="004A628B" w:rsidP="00582D36">
      <w:pPr>
        <w:pStyle w:val="Default"/>
        <w:rPr>
          <w:color w:val="auto"/>
          <w:sz w:val="22"/>
          <w:szCs w:val="22"/>
          <w:lang w:val="en-US"/>
        </w:rPr>
      </w:pPr>
    </w:p>
    <w:p w14:paraId="3ABBB658" w14:textId="77777777" w:rsidR="008D75F8" w:rsidRPr="008D75F8" w:rsidRDefault="00000000" w:rsidP="008D75F8">
      <w:pPr>
        <w:widowControl w:val="0"/>
        <w:suppressAutoHyphens/>
        <w:jc w:val="both"/>
        <w:rPr>
          <w:rFonts w:eastAsiaTheme="minorHAnsi" w:cstheme="minorHAnsi"/>
          <w:b/>
          <w:bCs/>
          <w:lang w:val="en-GB"/>
        </w:rPr>
      </w:pPr>
      <w:hyperlink r:id="rId14" w:anchor="%7B%22tabview%22:%5B%22document%22%5D,%22itemid%22:%5B%22001-228530%22%5D%7D">
        <w:r w:rsidR="008D75F8" w:rsidRPr="008D75F8">
          <w:rPr>
            <w:rStyle w:val="Hyperlink"/>
            <w:rFonts w:eastAsiaTheme="minorHAnsi" w:cstheme="minorHAnsi"/>
            <w:b/>
            <w:bCs/>
            <w:lang w:val="en-GB"/>
          </w:rPr>
          <w:t>CASE OF BILD GMBH &amp; CO. KG v. GERMANY</w:t>
        </w:r>
      </w:hyperlink>
      <w:r w:rsidR="008D75F8" w:rsidRPr="008D75F8">
        <w:rPr>
          <w:rFonts w:eastAsiaTheme="minorHAnsi" w:cstheme="minorHAnsi"/>
          <w:b/>
          <w:bCs/>
          <w:lang w:val="en-GB"/>
        </w:rPr>
        <w:t xml:space="preserve"> </w:t>
      </w:r>
    </w:p>
    <w:p w14:paraId="4E4F2C4E" w14:textId="77777777" w:rsidR="008D75F8" w:rsidRPr="008D75F8" w:rsidRDefault="008D75F8" w:rsidP="008D75F8">
      <w:pPr>
        <w:jc w:val="both"/>
        <w:rPr>
          <w:rFonts w:eastAsiaTheme="minorHAnsi" w:cstheme="minorHAnsi"/>
          <w:lang w:val="en-GB"/>
        </w:rPr>
      </w:pPr>
      <w:r w:rsidRPr="008D75F8">
        <w:rPr>
          <w:rFonts w:eastAsiaTheme="minorHAnsi" w:cstheme="minorHAnsi"/>
          <w:lang w:val="en-GB"/>
        </w:rPr>
        <w:t xml:space="preserve">The ECtHR ruled that a court order requiring a publisher to cease the publication of CCTV footage of a police arrest without blurring the officer's face violated Article 10 as it led to the possibility of banning future publication on matters of interest. The ECHR emphasised the need for a balance between freedom of expression and an individual's right to privacy, highlighting the importance of public interest in discussions on the use of force by state agents. The ECtHR noted that the domestic courts insufficiently evaluated the potential contributions to public debate of future unedited CCTV footage publications. The ECtHR concluded that the injunction was not necessary in a democratic society and thus violated Article 10. </w:t>
      </w:r>
    </w:p>
    <w:p w14:paraId="4E637A1C" w14:textId="0CD19653" w:rsidR="008D75F8" w:rsidRDefault="008D75F8" w:rsidP="008D75F8">
      <w:pPr>
        <w:widowControl w:val="0"/>
        <w:suppressAutoHyphens/>
        <w:jc w:val="both"/>
        <w:rPr>
          <w:rFonts w:eastAsiaTheme="minorHAnsi" w:cstheme="minorHAnsi"/>
          <w:b/>
          <w:bCs/>
          <w:lang w:val="en-GB"/>
        </w:rPr>
      </w:pPr>
      <w:r w:rsidRPr="008D75F8">
        <w:rPr>
          <w:rFonts w:eastAsiaTheme="minorHAnsi" w:cstheme="minorHAnsi"/>
          <w:b/>
          <w:bCs/>
          <w:lang w:val="en-GB"/>
        </w:rPr>
        <w:t>Violation of Article 10 ECHR</w:t>
      </w:r>
    </w:p>
    <w:p w14:paraId="5F809CE8" w14:textId="25E16EF9" w:rsidR="00512258" w:rsidRDefault="00512258" w:rsidP="008D75F8">
      <w:pPr>
        <w:widowControl w:val="0"/>
        <w:suppressAutoHyphens/>
        <w:jc w:val="both"/>
        <w:rPr>
          <w:rFonts w:eastAsiaTheme="minorHAnsi" w:cstheme="minorHAnsi"/>
          <w:b/>
          <w:bCs/>
          <w:lang w:val="en-GB"/>
        </w:rPr>
      </w:pPr>
    </w:p>
    <w:p w14:paraId="53F9C996" w14:textId="77777777" w:rsidR="00512258" w:rsidRPr="00512258" w:rsidRDefault="00000000" w:rsidP="00512258">
      <w:pPr>
        <w:widowControl w:val="0"/>
        <w:suppressAutoHyphens/>
        <w:jc w:val="both"/>
        <w:rPr>
          <w:rFonts w:eastAsiaTheme="minorHAnsi" w:cstheme="minorHAnsi"/>
          <w:b/>
          <w:bCs/>
          <w:lang w:val="en-GB"/>
        </w:rPr>
      </w:pPr>
      <w:hyperlink r:id="rId15" w:anchor="%7B%22tabview%22:%5B%22document%22%5D,%22itemid%22:%5B%22001-223703%22%5D%7D" w:history="1">
        <w:r w:rsidR="00512258" w:rsidRPr="00512258">
          <w:rPr>
            <w:rStyle w:val="Hyperlink"/>
            <w:rFonts w:eastAsiaTheme="minorHAnsi" w:cstheme="minorHAnsi"/>
            <w:b/>
            <w:bCs/>
            <w:lang w:val="en-GB"/>
          </w:rPr>
          <w:t>CASE OF SAURE v. GERMANY (No. 2)</w:t>
        </w:r>
      </w:hyperlink>
    </w:p>
    <w:p w14:paraId="30B759A2" w14:textId="77777777" w:rsidR="00512258" w:rsidRPr="00512258" w:rsidRDefault="00512258" w:rsidP="00512258">
      <w:pPr>
        <w:jc w:val="both"/>
        <w:rPr>
          <w:rFonts w:eastAsiaTheme="minorHAnsi" w:cstheme="minorHAnsi"/>
          <w:lang w:val="en-GB"/>
        </w:rPr>
      </w:pPr>
      <w:r w:rsidRPr="00512258">
        <w:rPr>
          <w:rFonts w:eastAsiaTheme="minorHAnsi" w:cstheme="minorHAnsi"/>
          <w:lang w:val="en-GB"/>
        </w:rPr>
        <w:t xml:space="preserve">The application concerned the refusal to allow the applicant, a journalist, physical access and consultation of the files held by the German Foreign Intelligence Service on the former GDR Security Service judges’ history and their current personal information. The domestic courts refused the application as they held that the judges’ rights to their reputation/potential negative effects outweighed the right to freedom of expression. </w:t>
      </w:r>
    </w:p>
    <w:p w14:paraId="04F6630A" w14:textId="77777777" w:rsidR="00512258" w:rsidRPr="00512258" w:rsidRDefault="00512258" w:rsidP="00512258">
      <w:pPr>
        <w:jc w:val="both"/>
        <w:rPr>
          <w:rFonts w:eastAsiaTheme="minorHAnsi" w:cstheme="minorHAnsi"/>
          <w:lang w:val="en-GB"/>
        </w:rPr>
      </w:pPr>
      <w:r w:rsidRPr="00512258">
        <w:rPr>
          <w:rFonts w:eastAsiaTheme="minorHAnsi" w:cstheme="minorHAnsi"/>
          <w:lang w:val="en-GB"/>
        </w:rPr>
        <w:t xml:space="preserve">The ECtHR agreed with the domestic courts but held that one of the journalists’ requests, with respect to military service and informant status of the judges in general, had not been properly dealt with as the information could have been anonymised. </w:t>
      </w:r>
    </w:p>
    <w:p w14:paraId="7B42192C" w14:textId="14F176DC" w:rsidR="00512258" w:rsidRPr="00512258" w:rsidRDefault="00512258" w:rsidP="00512258">
      <w:pPr>
        <w:widowControl w:val="0"/>
        <w:suppressAutoHyphens/>
        <w:jc w:val="both"/>
        <w:rPr>
          <w:rFonts w:eastAsiaTheme="minorHAnsi" w:cstheme="minorHAnsi"/>
          <w:b/>
          <w:bCs/>
          <w:lang w:val="en-GB"/>
        </w:rPr>
      </w:pPr>
      <w:r w:rsidRPr="00512258">
        <w:rPr>
          <w:rFonts w:eastAsiaTheme="minorHAnsi" w:cstheme="minorHAnsi"/>
          <w:b/>
          <w:bCs/>
          <w:lang w:val="en-GB"/>
        </w:rPr>
        <w:t>Partial violation of Article 10 ECHR</w:t>
      </w:r>
    </w:p>
    <w:p w14:paraId="546B09E4" w14:textId="77777777" w:rsidR="00512258" w:rsidRPr="008D75F8" w:rsidRDefault="00512258" w:rsidP="008D75F8">
      <w:pPr>
        <w:widowControl w:val="0"/>
        <w:suppressAutoHyphens/>
        <w:jc w:val="both"/>
        <w:rPr>
          <w:rFonts w:eastAsiaTheme="minorHAnsi" w:cstheme="minorHAnsi"/>
          <w:lang w:val="en-GB"/>
        </w:rPr>
      </w:pPr>
    </w:p>
    <w:p w14:paraId="2FAA5291" w14:textId="77777777" w:rsidR="003F1558" w:rsidRPr="003F1558" w:rsidRDefault="00000000" w:rsidP="003F1558">
      <w:pPr>
        <w:widowControl w:val="0"/>
        <w:suppressAutoHyphens/>
        <w:jc w:val="both"/>
        <w:rPr>
          <w:rFonts w:eastAsiaTheme="minorHAnsi" w:cstheme="minorHAnsi"/>
          <w:b/>
          <w:bCs/>
          <w:u w:val="single"/>
          <w:lang w:val="en-GB"/>
        </w:rPr>
      </w:pPr>
      <w:hyperlink r:id="rId16" w:anchor="%7B%22tabview%22:%5B%22document%22%5D,%22itemid%22:%5B%22001-222312%22%5D%7D" w:history="1">
        <w:r w:rsidR="003F1558" w:rsidRPr="003F1558">
          <w:rPr>
            <w:rStyle w:val="Hyperlink"/>
            <w:rFonts w:eastAsiaTheme="minorHAnsi" w:cstheme="minorHAnsi"/>
            <w:b/>
            <w:bCs/>
            <w:lang w:val="en-GB"/>
          </w:rPr>
          <w:t>CASE OF AXEL SPRINGER SE v. GERMANY</w:t>
        </w:r>
      </w:hyperlink>
    </w:p>
    <w:p w14:paraId="342E61D0" w14:textId="77777777" w:rsidR="003F1558" w:rsidRPr="003F1558" w:rsidRDefault="003F1558" w:rsidP="003F1558">
      <w:pPr>
        <w:jc w:val="both"/>
        <w:rPr>
          <w:rFonts w:eastAsiaTheme="minorHAnsi" w:cstheme="minorHAnsi"/>
          <w:lang w:val="en-GB"/>
        </w:rPr>
      </w:pPr>
      <w:r w:rsidRPr="003F1558">
        <w:rPr>
          <w:rFonts w:eastAsiaTheme="minorHAnsi" w:cstheme="minorHAnsi"/>
          <w:lang w:val="en-GB"/>
        </w:rPr>
        <w:t>A publishing house published an article in a national newspaper implicating K., the executive director of a political party, as a former Stasi agent involved in the disappearance of assets belonging to the East German Communist Party. K. sought a right of reply, initially refused by Axel Springer. After legal proceedings in Germany, the Berlin Court of Appeal ordered the publication of the reply, leading Axel Springer to claim a violation of Article 10. The ECtHR upheld the Berlin Court of Appeal's decision, emphasising the equal importance of Articles 8 and 10, and underscoring the press's duty to report in good faith. The ECtHR concluded that the Court of Appeal appropriately balanced the right to respect for private life and freedom of expression, finding no violation of Article 10.</w:t>
      </w:r>
    </w:p>
    <w:p w14:paraId="726B39EF" w14:textId="23703DCE" w:rsidR="003F1558" w:rsidRPr="003F1558" w:rsidRDefault="003F1558" w:rsidP="003F1558">
      <w:pPr>
        <w:widowControl w:val="0"/>
        <w:suppressAutoHyphens/>
        <w:jc w:val="both"/>
        <w:rPr>
          <w:rFonts w:eastAsiaTheme="minorHAnsi" w:cstheme="minorHAnsi"/>
          <w:lang w:val="en-GB"/>
        </w:rPr>
      </w:pPr>
      <w:r w:rsidRPr="003F1558">
        <w:rPr>
          <w:rFonts w:eastAsiaTheme="minorHAnsi" w:cstheme="minorHAnsi"/>
          <w:b/>
          <w:bCs/>
          <w:lang w:val="en-GB"/>
        </w:rPr>
        <w:t>No violation of Article 10 ECHR</w:t>
      </w:r>
    </w:p>
    <w:p w14:paraId="79D326D6" w14:textId="1DC57239" w:rsidR="002D72C8" w:rsidRPr="003F1558" w:rsidRDefault="002D72C8" w:rsidP="00582D36">
      <w:pPr>
        <w:pStyle w:val="Default"/>
        <w:rPr>
          <w:color w:val="auto"/>
          <w:sz w:val="20"/>
          <w:szCs w:val="20"/>
          <w:lang w:val="en-GB"/>
        </w:rPr>
      </w:pPr>
    </w:p>
    <w:p w14:paraId="3E1F9863" w14:textId="2A74C94B"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5D5B0DC6" w14:textId="092C425E" w:rsidR="002D72C8" w:rsidRDefault="002D72C8" w:rsidP="002D72C8">
      <w:pPr>
        <w:rPr>
          <w:lang w:val="en-US"/>
        </w:rPr>
      </w:pPr>
    </w:p>
    <w:p w14:paraId="15F2982C" w14:textId="2B9E00C9" w:rsidR="004B7EDC" w:rsidRPr="002472B5" w:rsidRDefault="002D72C8" w:rsidP="002472B5">
      <w:pPr>
        <w:pStyle w:val="Default"/>
        <w:rPr>
          <w:color w:val="auto"/>
          <w:sz w:val="20"/>
          <w:szCs w:val="20"/>
          <w:lang w:val="en-US"/>
        </w:rPr>
      </w:pPr>
      <w:r w:rsidRPr="002D72C8">
        <w:rPr>
          <w:color w:val="auto"/>
          <w:sz w:val="20"/>
          <w:szCs w:val="20"/>
          <w:lang w:val="en-US"/>
        </w:rPr>
        <w:t xml:space="preserve">N/A </w:t>
      </w: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12EE" w14:textId="77777777" w:rsidR="00EB4A29" w:rsidRDefault="00EB4A29" w:rsidP="00857FF1">
      <w:r>
        <w:separator/>
      </w:r>
    </w:p>
  </w:endnote>
  <w:endnote w:type="continuationSeparator" w:id="0">
    <w:p w14:paraId="4612D1DD" w14:textId="77777777" w:rsidR="00EB4A29" w:rsidRDefault="00EB4A29"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1B26" w14:textId="77777777" w:rsidR="00EB4A29" w:rsidRDefault="00EB4A29" w:rsidP="00857FF1">
      <w:r>
        <w:separator/>
      </w:r>
    </w:p>
  </w:footnote>
  <w:footnote w:type="continuationSeparator" w:id="0">
    <w:p w14:paraId="1E3BCB95" w14:textId="77777777" w:rsidR="00EB4A29" w:rsidRDefault="00EB4A29"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03E5FE8"/>
    <w:multiLevelType w:val="hybridMultilevel"/>
    <w:tmpl w:val="3D1831F6"/>
    <w:lvl w:ilvl="0" w:tplc="11206172">
      <w:start w:val="1"/>
      <w:numFmt w:val="bullet"/>
      <w:lvlText w:val=""/>
      <w:lvlJc w:val="left"/>
      <w:pPr>
        <w:ind w:left="720" w:hanging="360"/>
      </w:pPr>
      <w:rPr>
        <w:rFonts w:ascii="Symbol" w:hAnsi="Symbol" w:hint="default"/>
      </w:rPr>
    </w:lvl>
    <w:lvl w:ilvl="1" w:tplc="B664AA20">
      <w:start w:val="1"/>
      <w:numFmt w:val="bullet"/>
      <w:lvlText w:val="o"/>
      <w:lvlJc w:val="left"/>
      <w:pPr>
        <w:ind w:left="1440" w:hanging="360"/>
      </w:pPr>
      <w:rPr>
        <w:rFonts w:ascii="Courier New" w:hAnsi="Courier New" w:cs="Times New Roman" w:hint="default"/>
      </w:rPr>
    </w:lvl>
    <w:lvl w:ilvl="2" w:tplc="0ABC2044">
      <w:start w:val="1"/>
      <w:numFmt w:val="bullet"/>
      <w:lvlText w:val=""/>
      <w:lvlJc w:val="left"/>
      <w:pPr>
        <w:ind w:left="2160" w:hanging="360"/>
      </w:pPr>
      <w:rPr>
        <w:rFonts w:ascii="Wingdings" w:hAnsi="Wingdings" w:hint="default"/>
      </w:rPr>
    </w:lvl>
    <w:lvl w:ilvl="3" w:tplc="30323BC6">
      <w:start w:val="1"/>
      <w:numFmt w:val="bullet"/>
      <w:lvlText w:val=""/>
      <w:lvlJc w:val="left"/>
      <w:pPr>
        <w:ind w:left="2880" w:hanging="360"/>
      </w:pPr>
      <w:rPr>
        <w:rFonts w:ascii="Symbol" w:hAnsi="Symbol" w:hint="default"/>
      </w:rPr>
    </w:lvl>
    <w:lvl w:ilvl="4" w:tplc="81CE3E52">
      <w:start w:val="1"/>
      <w:numFmt w:val="bullet"/>
      <w:lvlText w:val="o"/>
      <w:lvlJc w:val="left"/>
      <w:pPr>
        <w:ind w:left="3600" w:hanging="360"/>
      </w:pPr>
      <w:rPr>
        <w:rFonts w:ascii="Courier New" w:hAnsi="Courier New" w:cs="Times New Roman" w:hint="default"/>
      </w:rPr>
    </w:lvl>
    <w:lvl w:ilvl="5" w:tplc="5CA250EC">
      <w:start w:val="1"/>
      <w:numFmt w:val="bullet"/>
      <w:lvlText w:val=""/>
      <w:lvlJc w:val="left"/>
      <w:pPr>
        <w:ind w:left="4320" w:hanging="360"/>
      </w:pPr>
      <w:rPr>
        <w:rFonts w:ascii="Wingdings" w:hAnsi="Wingdings" w:hint="default"/>
      </w:rPr>
    </w:lvl>
    <w:lvl w:ilvl="6" w:tplc="EAA4166E">
      <w:start w:val="1"/>
      <w:numFmt w:val="bullet"/>
      <w:lvlText w:val=""/>
      <w:lvlJc w:val="left"/>
      <w:pPr>
        <w:ind w:left="5040" w:hanging="360"/>
      </w:pPr>
      <w:rPr>
        <w:rFonts w:ascii="Symbol" w:hAnsi="Symbol" w:hint="default"/>
      </w:rPr>
    </w:lvl>
    <w:lvl w:ilvl="7" w:tplc="CBBC67C6">
      <w:start w:val="1"/>
      <w:numFmt w:val="bullet"/>
      <w:lvlText w:val="o"/>
      <w:lvlJc w:val="left"/>
      <w:pPr>
        <w:ind w:left="5760" w:hanging="360"/>
      </w:pPr>
      <w:rPr>
        <w:rFonts w:ascii="Courier New" w:hAnsi="Courier New" w:cs="Times New Roman" w:hint="default"/>
      </w:rPr>
    </w:lvl>
    <w:lvl w:ilvl="8" w:tplc="B116199A">
      <w:start w:val="1"/>
      <w:numFmt w:val="bullet"/>
      <w:lvlText w:val=""/>
      <w:lvlJc w:val="left"/>
      <w:pPr>
        <w:ind w:left="64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CF42A"/>
    <w:multiLevelType w:val="hybridMultilevel"/>
    <w:tmpl w:val="8CE48166"/>
    <w:lvl w:ilvl="0" w:tplc="CAD84346">
      <w:start w:val="1"/>
      <w:numFmt w:val="bullet"/>
      <w:lvlText w:val=""/>
      <w:lvlJc w:val="left"/>
      <w:pPr>
        <w:ind w:left="720" w:hanging="360"/>
      </w:pPr>
      <w:rPr>
        <w:rFonts w:ascii="Symbol" w:hAnsi="Symbol" w:hint="default"/>
      </w:rPr>
    </w:lvl>
    <w:lvl w:ilvl="1" w:tplc="5FBC3BA2">
      <w:start w:val="1"/>
      <w:numFmt w:val="bullet"/>
      <w:lvlText w:val="o"/>
      <w:lvlJc w:val="left"/>
      <w:pPr>
        <w:ind w:left="1440" w:hanging="360"/>
      </w:pPr>
      <w:rPr>
        <w:rFonts w:ascii="Courier New" w:hAnsi="Courier New" w:cs="Times New Roman" w:hint="default"/>
      </w:rPr>
    </w:lvl>
    <w:lvl w:ilvl="2" w:tplc="2CA05BEC">
      <w:start w:val="1"/>
      <w:numFmt w:val="bullet"/>
      <w:lvlText w:val=""/>
      <w:lvlJc w:val="left"/>
      <w:pPr>
        <w:ind w:left="2160" w:hanging="360"/>
      </w:pPr>
      <w:rPr>
        <w:rFonts w:ascii="Wingdings" w:hAnsi="Wingdings" w:hint="default"/>
      </w:rPr>
    </w:lvl>
    <w:lvl w:ilvl="3" w:tplc="BFA6ED7C">
      <w:start w:val="1"/>
      <w:numFmt w:val="bullet"/>
      <w:lvlText w:val=""/>
      <w:lvlJc w:val="left"/>
      <w:pPr>
        <w:ind w:left="2880" w:hanging="360"/>
      </w:pPr>
      <w:rPr>
        <w:rFonts w:ascii="Symbol" w:hAnsi="Symbol" w:hint="default"/>
      </w:rPr>
    </w:lvl>
    <w:lvl w:ilvl="4" w:tplc="765ADC64">
      <w:start w:val="1"/>
      <w:numFmt w:val="bullet"/>
      <w:lvlText w:val="o"/>
      <w:lvlJc w:val="left"/>
      <w:pPr>
        <w:ind w:left="3600" w:hanging="360"/>
      </w:pPr>
      <w:rPr>
        <w:rFonts w:ascii="Courier New" w:hAnsi="Courier New" w:cs="Times New Roman" w:hint="default"/>
      </w:rPr>
    </w:lvl>
    <w:lvl w:ilvl="5" w:tplc="A590FC06">
      <w:start w:val="1"/>
      <w:numFmt w:val="bullet"/>
      <w:lvlText w:val=""/>
      <w:lvlJc w:val="left"/>
      <w:pPr>
        <w:ind w:left="4320" w:hanging="360"/>
      </w:pPr>
      <w:rPr>
        <w:rFonts w:ascii="Wingdings" w:hAnsi="Wingdings" w:hint="default"/>
      </w:rPr>
    </w:lvl>
    <w:lvl w:ilvl="6" w:tplc="07B652C4">
      <w:start w:val="1"/>
      <w:numFmt w:val="bullet"/>
      <w:lvlText w:val=""/>
      <w:lvlJc w:val="left"/>
      <w:pPr>
        <w:ind w:left="5040" w:hanging="360"/>
      </w:pPr>
      <w:rPr>
        <w:rFonts w:ascii="Symbol" w:hAnsi="Symbol" w:hint="default"/>
      </w:rPr>
    </w:lvl>
    <w:lvl w:ilvl="7" w:tplc="AC7CBA5C">
      <w:start w:val="1"/>
      <w:numFmt w:val="bullet"/>
      <w:lvlText w:val="o"/>
      <w:lvlJc w:val="left"/>
      <w:pPr>
        <w:ind w:left="5760" w:hanging="360"/>
      </w:pPr>
      <w:rPr>
        <w:rFonts w:ascii="Courier New" w:hAnsi="Courier New" w:cs="Times New Roman" w:hint="default"/>
      </w:rPr>
    </w:lvl>
    <w:lvl w:ilvl="8" w:tplc="078A9224">
      <w:start w:val="1"/>
      <w:numFmt w:val="bullet"/>
      <w:lvlText w:val=""/>
      <w:lvlJc w:val="left"/>
      <w:pPr>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65FDCBA"/>
    <w:multiLevelType w:val="hybridMultilevel"/>
    <w:tmpl w:val="811A660A"/>
    <w:lvl w:ilvl="0" w:tplc="1D76B2A0">
      <w:start w:val="1"/>
      <w:numFmt w:val="bullet"/>
      <w:lvlText w:val=""/>
      <w:lvlJc w:val="left"/>
      <w:pPr>
        <w:ind w:left="720" w:hanging="360"/>
      </w:pPr>
      <w:rPr>
        <w:rFonts w:ascii="Symbol" w:hAnsi="Symbol" w:hint="default"/>
      </w:rPr>
    </w:lvl>
    <w:lvl w:ilvl="1" w:tplc="3B0ED258">
      <w:start w:val="1"/>
      <w:numFmt w:val="bullet"/>
      <w:lvlText w:val="o"/>
      <w:lvlJc w:val="left"/>
      <w:pPr>
        <w:ind w:left="1440" w:hanging="360"/>
      </w:pPr>
      <w:rPr>
        <w:rFonts w:ascii="Courier New" w:hAnsi="Courier New" w:hint="default"/>
      </w:rPr>
    </w:lvl>
    <w:lvl w:ilvl="2" w:tplc="0A187BEC">
      <w:start w:val="1"/>
      <w:numFmt w:val="bullet"/>
      <w:lvlText w:val=""/>
      <w:lvlJc w:val="left"/>
      <w:pPr>
        <w:ind w:left="2160" w:hanging="360"/>
      </w:pPr>
      <w:rPr>
        <w:rFonts w:ascii="Wingdings" w:hAnsi="Wingdings" w:hint="default"/>
      </w:rPr>
    </w:lvl>
    <w:lvl w:ilvl="3" w:tplc="B388DCE6">
      <w:start w:val="1"/>
      <w:numFmt w:val="bullet"/>
      <w:lvlText w:val=""/>
      <w:lvlJc w:val="left"/>
      <w:pPr>
        <w:ind w:left="2880" w:hanging="360"/>
      </w:pPr>
      <w:rPr>
        <w:rFonts w:ascii="Symbol" w:hAnsi="Symbol" w:hint="default"/>
      </w:rPr>
    </w:lvl>
    <w:lvl w:ilvl="4" w:tplc="F7C4DC16">
      <w:start w:val="1"/>
      <w:numFmt w:val="bullet"/>
      <w:lvlText w:val="o"/>
      <w:lvlJc w:val="left"/>
      <w:pPr>
        <w:ind w:left="3600" w:hanging="360"/>
      </w:pPr>
      <w:rPr>
        <w:rFonts w:ascii="Courier New" w:hAnsi="Courier New" w:hint="default"/>
      </w:rPr>
    </w:lvl>
    <w:lvl w:ilvl="5" w:tplc="D7E2A05C">
      <w:start w:val="1"/>
      <w:numFmt w:val="bullet"/>
      <w:lvlText w:val=""/>
      <w:lvlJc w:val="left"/>
      <w:pPr>
        <w:ind w:left="4320" w:hanging="360"/>
      </w:pPr>
      <w:rPr>
        <w:rFonts w:ascii="Wingdings" w:hAnsi="Wingdings" w:hint="default"/>
      </w:rPr>
    </w:lvl>
    <w:lvl w:ilvl="6" w:tplc="9B6AC844">
      <w:start w:val="1"/>
      <w:numFmt w:val="bullet"/>
      <w:lvlText w:val=""/>
      <w:lvlJc w:val="left"/>
      <w:pPr>
        <w:ind w:left="5040" w:hanging="360"/>
      </w:pPr>
      <w:rPr>
        <w:rFonts w:ascii="Symbol" w:hAnsi="Symbol" w:hint="default"/>
      </w:rPr>
    </w:lvl>
    <w:lvl w:ilvl="7" w:tplc="5060F596">
      <w:start w:val="1"/>
      <w:numFmt w:val="bullet"/>
      <w:lvlText w:val="o"/>
      <w:lvlJc w:val="left"/>
      <w:pPr>
        <w:ind w:left="5760" w:hanging="360"/>
      </w:pPr>
      <w:rPr>
        <w:rFonts w:ascii="Courier New" w:hAnsi="Courier New" w:hint="default"/>
      </w:rPr>
    </w:lvl>
    <w:lvl w:ilvl="8" w:tplc="2D2AF50C">
      <w:start w:val="1"/>
      <w:numFmt w:val="bullet"/>
      <w:lvlText w:val=""/>
      <w:lvlJc w:val="left"/>
      <w:pPr>
        <w:ind w:left="6480" w:hanging="360"/>
      </w:pPr>
      <w:rPr>
        <w:rFonts w:ascii="Wingdings" w:hAnsi="Wingdings" w:hint="default"/>
      </w:rPr>
    </w:lvl>
  </w:abstractNum>
  <w:num w:numId="1" w16cid:durableId="11153666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3483098">
    <w:abstractNumId w:val="3"/>
  </w:num>
  <w:num w:numId="3" w16cid:durableId="1620339470">
    <w:abstractNumId w:val="5"/>
  </w:num>
  <w:num w:numId="4" w16cid:durableId="1821655064">
    <w:abstractNumId w:val="9"/>
  </w:num>
  <w:num w:numId="5" w16cid:durableId="636641199">
    <w:abstractNumId w:val="6"/>
  </w:num>
  <w:num w:numId="6" w16cid:durableId="1098058516">
    <w:abstractNumId w:val="6"/>
  </w:num>
  <w:num w:numId="7" w16cid:durableId="2039744234">
    <w:abstractNumId w:val="2"/>
  </w:num>
  <w:num w:numId="8" w16cid:durableId="1931311648">
    <w:abstractNumId w:val="8"/>
  </w:num>
  <w:num w:numId="9" w16cid:durableId="1735543075">
    <w:abstractNumId w:val="10"/>
  </w:num>
  <w:num w:numId="10" w16cid:durableId="145436606">
    <w:abstractNumId w:val="0"/>
  </w:num>
  <w:num w:numId="11" w16cid:durableId="798843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484945">
    <w:abstractNumId w:val="7"/>
  </w:num>
  <w:num w:numId="13" w16cid:durableId="20655960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7AD4"/>
    <w:rsid w:val="0002205E"/>
    <w:rsid w:val="00032233"/>
    <w:rsid w:val="00046ED6"/>
    <w:rsid w:val="00052725"/>
    <w:rsid w:val="00066042"/>
    <w:rsid w:val="0008266B"/>
    <w:rsid w:val="000937BA"/>
    <w:rsid w:val="000A4D83"/>
    <w:rsid w:val="000D3267"/>
    <w:rsid w:val="000D4001"/>
    <w:rsid w:val="000E51C1"/>
    <w:rsid w:val="001158B4"/>
    <w:rsid w:val="001257E8"/>
    <w:rsid w:val="00152FC1"/>
    <w:rsid w:val="001570DB"/>
    <w:rsid w:val="00167680"/>
    <w:rsid w:val="0017198C"/>
    <w:rsid w:val="00172847"/>
    <w:rsid w:val="00182F49"/>
    <w:rsid w:val="00194CC7"/>
    <w:rsid w:val="001A0B36"/>
    <w:rsid w:val="001C61E8"/>
    <w:rsid w:val="001C77D8"/>
    <w:rsid w:val="001D0AE0"/>
    <w:rsid w:val="001D5EC9"/>
    <w:rsid w:val="001D60D4"/>
    <w:rsid w:val="002027E7"/>
    <w:rsid w:val="0021059A"/>
    <w:rsid w:val="002147D2"/>
    <w:rsid w:val="002472B5"/>
    <w:rsid w:val="002542C9"/>
    <w:rsid w:val="00254902"/>
    <w:rsid w:val="00270C3C"/>
    <w:rsid w:val="00282225"/>
    <w:rsid w:val="002832FA"/>
    <w:rsid w:val="00295AAD"/>
    <w:rsid w:val="002A15F9"/>
    <w:rsid w:val="002B2FF2"/>
    <w:rsid w:val="002C68B0"/>
    <w:rsid w:val="002D72C8"/>
    <w:rsid w:val="0032703F"/>
    <w:rsid w:val="00354546"/>
    <w:rsid w:val="00355214"/>
    <w:rsid w:val="003573A3"/>
    <w:rsid w:val="00372B8F"/>
    <w:rsid w:val="00392D83"/>
    <w:rsid w:val="003A5677"/>
    <w:rsid w:val="003E7220"/>
    <w:rsid w:val="003F0C2C"/>
    <w:rsid w:val="003F1558"/>
    <w:rsid w:val="003F1A16"/>
    <w:rsid w:val="00470A51"/>
    <w:rsid w:val="00473DF2"/>
    <w:rsid w:val="004A489F"/>
    <w:rsid w:val="004A628B"/>
    <w:rsid w:val="004B00EA"/>
    <w:rsid w:val="004B7EDC"/>
    <w:rsid w:val="004E4321"/>
    <w:rsid w:val="004E47AF"/>
    <w:rsid w:val="005118AC"/>
    <w:rsid w:val="00512258"/>
    <w:rsid w:val="00513EFD"/>
    <w:rsid w:val="00514453"/>
    <w:rsid w:val="00561E52"/>
    <w:rsid w:val="0057123C"/>
    <w:rsid w:val="00571B7F"/>
    <w:rsid w:val="005728A3"/>
    <w:rsid w:val="00577C54"/>
    <w:rsid w:val="00582D36"/>
    <w:rsid w:val="00585033"/>
    <w:rsid w:val="005902FB"/>
    <w:rsid w:val="0059576A"/>
    <w:rsid w:val="005A0052"/>
    <w:rsid w:val="005A12D3"/>
    <w:rsid w:val="005C2BE4"/>
    <w:rsid w:val="0061234D"/>
    <w:rsid w:val="0065310F"/>
    <w:rsid w:val="006551D0"/>
    <w:rsid w:val="00680789"/>
    <w:rsid w:val="00685098"/>
    <w:rsid w:val="006A6458"/>
    <w:rsid w:val="006B6601"/>
    <w:rsid w:val="006D3771"/>
    <w:rsid w:val="006D70CB"/>
    <w:rsid w:val="00707634"/>
    <w:rsid w:val="00734D8B"/>
    <w:rsid w:val="00742FA8"/>
    <w:rsid w:val="007511DC"/>
    <w:rsid w:val="00753A9E"/>
    <w:rsid w:val="00761A12"/>
    <w:rsid w:val="00764CB1"/>
    <w:rsid w:val="007959C1"/>
    <w:rsid w:val="007A4D16"/>
    <w:rsid w:val="007B0244"/>
    <w:rsid w:val="007B3B82"/>
    <w:rsid w:val="007D106D"/>
    <w:rsid w:val="007D198D"/>
    <w:rsid w:val="007E6171"/>
    <w:rsid w:val="007F122E"/>
    <w:rsid w:val="008139A9"/>
    <w:rsid w:val="00842446"/>
    <w:rsid w:val="008442A9"/>
    <w:rsid w:val="00857FF1"/>
    <w:rsid w:val="008669F2"/>
    <w:rsid w:val="00887319"/>
    <w:rsid w:val="008951D5"/>
    <w:rsid w:val="008B442E"/>
    <w:rsid w:val="008C40E4"/>
    <w:rsid w:val="008C7CEF"/>
    <w:rsid w:val="008D75F8"/>
    <w:rsid w:val="00904013"/>
    <w:rsid w:val="00906B87"/>
    <w:rsid w:val="00963345"/>
    <w:rsid w:val="00970070"/>
    <w:rsid w:val="00975C9F"/>
    <w:rsid w:val="00987BB6"/>
    <w:rsid w:val="0099587A"/>
    <w:rsid w:val="009A183C"/>
    <w:rsid w:val="009A6A74"/>
    <w:rsid w:val="009D5FD8"/>
    <w:rsid w:val="009D68A7"/>
    <w:rsid w:val="00A31D31"/>
    <w:rsid w:val="00A40D28"/>
    <w:rsid w:val="00A5045F"/>
    <w:rsid w:val="00A52988"/>
    <w:rsid w:val="00A54D19"/>
    <w:rsid w:val="00AA5B75"/>
    <w:rsid w:val="00AC541D"/>
    <w:rsid w:val="00AD3544"/>
    <w:rsid w:val="00AD5BD0"/>
    <w:rsid w:val="00AF0057"/>
    <w:rsid w:val="00B00D72"/>
    <w:rsid w:val="00B04E53"/>
    <w:rsid w:val="00B21A0C"/>
    <w:rsid w:val="00B31C99"/>
    <w:rsid w:val="00B35012"/>
    <w:rsid w:val="00B36582"/>
    <w:rsid w:val="00B42FD5"/>
    <w:rsid w:val="00B6223A"/>
    <w:rsid w:val="00B807B6"/>
    <w:rsid w:val="00B921E5"/>
    <w:rsid w:val="00BA50D6"/>
    <w:rsid w:val="00BB0F3D"/>
    <w:rsid w:val="00BD26EA"/>
    <w:rsid w:val="00BF0912"/>
    <w:rsid w:val="00BF5595"/>
    <w:rsid w:val="00C24FD8"/>
    <w:rsid w:val="00C45527"/>
    <w:rsid w:val="00C5556B"/>
    <w:rsid w:val="00C620D4"/>
    <w:rsid w:val="00C6306B"/>
    <w:rsid w:val="00C64310"/>
    <w:rsid w:val="00C75135"/>
    <w:rsid w:val="00C83B33"/>
    <w:rsid w:val="00C86F4B"/>
    <w:rsid w:val="00CA6029"/>
    <w:rsid w:val="00CB5822"/>
    <w:rsid w:val="00CB7D65"/>
    <w:rsid w:val="00CD1AB6"/>
    <w:rsid w:val="00CD34B7"/>
    <w:rsid w:val="00CF1C6F"/>
    <w:rsid w:val="00CF216F"/>
    <w:rsid w:val="00D20872"/>
    <w:rsid w:val="00D37016"/>
    <w:rsid w:val="00D47FA8"/>
    <w:rsid w:val="00D70C65"/>
    <w:rsid w:val="00D7720E"/>
    <w:rsid w:val="00DB07C2"/>
    <w:rsid w:val="00DC7320"/>
    <w:rsid w:val="00DD05CB"/>
    <w:rsid w:val="00DD3A6A"/>
    <w:rsid w:val="00DF221A"/>
    <w:rsid w:val="00DF7C08"/>
    <w:rsid w:val="00E348C3"/>
    <w:rsid w:val="00E35697"/>
    <w:rsid w:val="00EB3FBB"/>
    <w:rsid w:val="00EB4A29"/>
    <w:rsid w:val="00ED06F9"/>
    <w:rsid w:val="00F070DD"/>
    <w:rsid w:val="00F21ED0"/>
    <w:rsid w:val="00F3151D"/>
    <w:rsid w:val="00F31FFD"/>
    <w:rsid w:val="00F436FD"/>
    <w:rsid w:val="00F50410"/>
    <w:rsid w:val="00F622AC"/>
    <w:rsid w:val="00F71177"/>
    <w:rsid w:val="00F847EB"/>
    <w:rsid w:val="00FA127B"/>
    <w:rsid w:val="00FA480D"/>
    <w:rsid w:val="00FA7F33"/>
    <w:rsid w:val="00FC04C1"/>
    <w:rsid w:val="00FD2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1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8951D5"/>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73DF2"/>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73DF2"/>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73DF2"/>
    <w:rPr>
      <w:rFonts w:ascii="Calibri" w:eastAsiaTheme="minorHAnsi" w:hAnsi="Calibri" w:cs="Calibri"/>
      <w:sz w:val="22"/>
      <w:szCs w:val="22"/>
      <w:lang w:eastAsia="fr-FR"/>
    </w:rPr>
  </w:style>
  <w:style w:type="paragraph" w:customStyle="1" w:styleId="xxxxxmsonormal">
    <w:name w:val="x_x_x_x_xmsonormal"/>
    <w:basedOn w:val="Normal"/>
    <w:rsid w:val="00DF221A"/>
    <w:pPr>
      <w:spacing w:before="100" w:beforeAutospacing="1" w:after="100" w:afterAutospacing="1"/>
    </w:pPr>
    <w:rPr>
      <w:rFonts w:ascii="Calibri" w:eastAsiaTheme="minorHAnsi" w:hAnsi="Calibri" w:cs="Calibri"/>
      <w:sz w:val="22"/>
      <w:szCs w:val="22"/>
      <w:lang w:eastAsia="fr-FR"/>
    </w:rPr>
  </w:style>
  <w:style w:type="character" w:customStyle="1" w:styleId="docref">
    <w:name w:val="docref"/>
    <w:basedOn w:val="DefaultParagraphFont"/>
    <w:rsid w:val="00032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71220">
      <w:bodyDiv w:val="1"/>
      <w:marLeft w:val="0"/>
      <w:marRight w:val="0"/>
      <w:marTop w:val="0"/>
      <w:marBottom w:val="0"/>
      <w:divBdr>
        <w:top w:val="none" w:sz="0" w:space="0" w:color="auto"/>
        <w:left w:val="none" w:sz="0" w:space="0" w:color="auto"/>
        <w:bottom w:val="none" w:sz="0" w:space="0" w:color="auto"/>
        <w:right w:val="none" w:sz="0" w:space="0" w:color="auto"/>
      </w:divBdr>
    </w:div>
    <w:div w:id="160849509">
      <w:bodyDiv w:val="1"/>
      <w:marLeft w:val="0"/>
      <w:marRight w:val="0"/>
      <w:marTop w:val="0"/>
      <w:marBottom w:val="0"/>
      <w:divBdr>
        <w:top w:val="none" w:sz="0" w:space="0" w:color="auto"/>
        <w:left w:val="none" w:sz="0" w:space="0" w:color="auto"/>
        <w:bottom w:val="none" w:sz="0" w:space="0" w:color="auto"/>
        <w:right w:val="none" w:sz="0" w:space="0" w:color="auto"/>
      </w:divBdr>
    </w:div>
    <w:div w:id="190727824">
      <w:bodyDiv w:val="1"/>
      <w:marLeft w:val="0"/>
      <w:marRight w:val="0"/>
      <w:marTop w:val="0"/>
      <w:marBottom w:val="0"/>
      <w:divBdr>
        <w:top w:val="none" w:sz="0" w:space="0" w:color="auto"/>
        <w:left w:val="none" w:sz="0" w:space="0" w:color="auto"/>
        <w:bottom w:val="none" w:sz="0" w:space="0" w:color="auto"/>
        <w:right w:val="none" w:sz="0" w:space="0" w:color="auto"/>
      </w:divBdr>
    </w:div>
    <w:div w:id="219830979">
      <w:bodyDiv w:val="1"/>
      <w:marLeft w:val="0"/>
      <w:marRight w:val="0"/>
      <w:marTop w:val="0"/>
      <w:marBottom w:val="0"/>
      <w:divBdr>
        <w:top w:val="none" w:sz="0" w:space="0" w:color="auto"/>
        <w:left w:val="none" w:sz="0" w:space="0" w:color="auto"/>
        <w:bottom w:val="none" w:sz="0" w:space="0" w:color="auto"/>
        <w:right w:val="none" w:sz="0" w:space="0" w:color="auto"/>
      </w:divBdr>
    </w:div>
    <w:div w:id="224146297">
      <w:bodyDiv w:val="1"/>
      <w:marLeft w:val="0"/>
      <w:marRight w:val="0"/>
      <w:marTop w:val="0"/>
      <w:marBottom w:val="0"/>
      <w:divBdr>
        <w:top w:val="none" w:sz="0" w:space="0" w:color="auto"/>
        <w:left w:val="none" w:sz="0" w:space="0" w:color="auto"/>
        <w:bottom w:val="none" w:sz="0" w:space="0" w:color="auto"/>
        <w:right w:val="none" w:sz="0" w:space="0" w:color="auto"/>
      </w:divBdr>
    </w:div>
    <w:div w:id="261383650">
      <w:bodyDiv w:val="1"/>
      <w:marLeft w:val="0"/>
      <w:marRight w:val="0"/>
      <w:marTop w:val="0"/>
      <w:marBottom w:val="0"/>
      <w:divBdr>
        <w:top w:val="none" w:sz="0" w:space="0" w:color="auto"/>
        <w:left w:val="none" w:sz="0" w:space="0" w:color="auto"/>
        <w:bottom w:val="none" w:sz="0" w:space="0" w:color="auto"/>
        <w:right w:val="none" w:sz="0" w:space="0" w:color="auto"/>
      </w:divBdr>
    </w:div>
    <w:div w:id="411315847">
      <w:bodyDiv w:val="1"/>
      <w:marLeft w:val="0"/>
      <w:marRight w:val="0"/>
      <w:marTop w:val="0"/>
      <w:marBottom w:val="0"/>
      <w:divBdr>
        <w:top w:val="none" w:sz="0" w:space="0" w:color="auto"/>
        <w:left w:val="none" w:sz="0" w:space="0" w:color="auto"/>
        <w:bottom w:val="none" w:sz="0" w:space="0" w:color="auto"/>
        <w:right w:val="none" w:sz="0" w:space="0" w:color="auto"/>
      </w:divBdr>
    </w:div>
    <w:div w:id="432551200">
      <w:bodyDiv w:val="1"/>
      <w:marLeft w:val="0"/>
      <w:marRight w:val="0"/>
      <w:marTop w:val="0"/>
      <w:marBottom w:val="0"/>
      <w:divBdr>
        <w:top w:val="none" w:sz="0" w:space="0" w:color="auto"/>
        <w:left w:val="none" w:sz="0" w:space="0" w:color="auto"/>
        <w:bottom w:val="none" w:sz="0" w:space="0" w:color="auto"/>
        <w:right w:val="none" w:sz="0" w:space="0" w:color="auto"/>
      </w:divBdr>
    </w:div>
    <w:div w:id="466973459">
      <w:bodyDiv w:val="1"/>
      <w:marLeft w:val="0"/>
      <w:marRight w:val="0"/>
      <w:marTop w:val="0"/>
      <w:marBottom w:val="0"/>
      <w:divBdr>
        <w:top w:val="none" w:sz="0" w:space="0" w:color="auto"/>
        <w:left w:val="none" w:sz="0" w:space="0" w:color="auto"/>
        <w:bottom w:val="none" w:sz="0" w:space="0" w:color="auto"/>
        <w:right w:val="none" w:sz="0" w:space="0" w:color="auto"/>
      </w:divBdr>
    </w:div>
    <w:div w:id="569845992">
      <w:bodyDiv w:val="1"/>
      <w:marLeft w:val="0"/>
      <w:marRight w:val="0"/>
      <w:marTop w:val="0"/>
      <w:marBottom w:val="0"/>
      <w:divBdr>
        <w:top w:val="none" w:sz="0" w:space="0" w:color="auto"/>
        <w:left w:val="none" w:sz="0" w:space="0" w:color="auto"/>
        <w:bottom w:val="none" w:sz="0" w:space="0" w:color="auto"/>
        <w:right w:val="none" w:sz="0" w:space="0" w:color="auto"/>
      </w:divBdr>
    </w:div>
    <w:div w:id="592396657">
      <w:bodyDiv w:val="1"/>
      <w:marLeft w:val="0"/>
      <w:marRight w:val="0"/>
      <w:marTop w:val="0"/>
      <w:marBottom w:val="0"/>
      <w:divBdr>
        <w:top w:val="none" w:sz="0" w:space="0" w:color="auto"/>
        <w:left w:val="none" w:sz="0" w:space="0" w:color="auto"/>
        <w:bottom w:val="none" w:sz="0" w:space="0" w:color="auto"/>
        <w:right w:val="none" w:sz="0" w:space="0" w:color="auto"/>
      </w:divBdr>
    </w:div>
    <w:div w:id="618218353">
      <w:bodyDiv w:val="1"/>
      <w:marLeft w:val="0"/>
      <w:marRight w:val="0"/>
      <w:marTop w:val="0"/>
      <w:marBottom w:val="0"/>
      <w:divBdr>
        <w:top w:val="none" w:sz="0" w:space="0" w:color="auto"/>
        <w:left w:val="none" w:sz="0" w:space="0" w:color="auto"/>
        <w:bottom w:val="none" w:sz="0" w:space="0" w:color="auto"/>
        <w:right w:val="none" w:sz="0" w:space="0" w:color="auto"/>
      </w:divBdr>
    </w:div>
    <w:div w:id="746267606">
      <w:bodyDiv w:val="1"/>
      <w:marLeft w:val="0"/>
      <w:marRight w:val="0"/>
      <w:marTop w:val="0"/>
      <w:marBottom w:val="0"/>
      <w:divBdr>
        <w:top w:val="none" w:sz="0" w:space="0" w:color="auto"/>
        <w:left w:val="none" w:sz="0" w:space="0" w:color="auto"/>
        <w:bottom w:val="none" w:sz="0" w:space="0" w:color="auto"/>
        <w:right w:val="none" w:sz="0" w:space="0" w:color="auto"/>
      </w:divBdr>
    </w:div>
    <w:div w:id="825173590">
      <w:bodyDiv w:val="1"/>
      <w:marLeft w:val="0"/>
      <w:marRight w:val="0"/>
      <w:marTop w:val="0"/>
      <w:marBottom w:val="0"/>
      <w:divBdr>
        <w:top w:val="none" w:sz="0" w:space="0" w:color="auto"/>
        <w:left w:val="none" w:sz="0" w:space="0" w:color="auto"/>
        <w:bottom w:val="none" w:sz="0" w:space="0" w:color="auto"/>
        <w:right w:val="none" w:sz="0" w:space="0" w:color="auto"/>
      </w:divBdr>
    </w:div>
    <w:div w:id="835072732">
      <w:bodyDiv w:val="1"/>
      <w:marLeft w:val="0"/>
      <w:marRight w:val="0"/>
      <w:marTop w:val="0"/>
      <w:marBottom w:val="0"/>
      <w:divBdr>
        <w:top w:val="none" w:sz="0" w:space="0" w:color="auto"/>
        <w:left w:val="none" w:sz="0" w:space="0" w:color="auto"/>
        <w:bottom w:val="none" w:sz="0" w:space="0" w:color="auto"/>
        <w:right w:val="none" w:sz="0" w:space="0" w:color="auto"/>
      </w:divBdr>
    </w:div>
    <w:div w:id="1074089689">
      <w:bodyDiv w:val="1"/>
      <w:marLeft w:val="0"/>
      <w:marRight w:val="0"/>
      <w:marTop w:val="0"/>
      <w:marBottom w:val="0"/>
      <w:divBdr>
        <w:top w:val="none" w:sz="0" w:space="0" w:color="auto"/>
        <w:left w:val="none" w:sz="0" w:space="0" w:color="auto"/>
        <w:bottom w:val="none" w:sz="0" w:space="0" w:color="auto"/>
        <w:right w:val="none" w:sz="0" w:space="0" w:color="auto"/>
      </w:divBdr>
    </w:div>
    <w:div w:id="1226256466">
      <w:bodyDiv w:val="1"/>
      <w:marLeft w:val="0"/>
      <w:marRight w:val="0"/>
      <w:marTop w:val="0"/>
      <w:marBottom w:val="0"/>
      <w:divBdr>
        <w:top w:val="none" w:sz="0" w:space="0" w:color="auto"/>
        <w:left w:val="none" w:sz="0" w:space="0" w:color="auto"/>
        <w:bottom w:val="none" w:sz="0" w:space="0" w:color="auto"/>
        <w:right w:val="none" w:sz="0" w:space="0" w:color="auto"/>
      </w:divBdr>
    </w:div>
    <w:div w:id="1322468500">
      <w:bodyDiv w:val="1"/>
      <w:marLeft w:val="0"/>
      <w:marRight w:val="0"/>
      <w:marTop w:val="0"/>
      <w:marBottom w:val="0"/>
      <w:divBdr>
        <w:top w:val="none" w:sz="0" w:space="0" w:color="auto"/>
        <w:left w:val="none" w:sz="0" w:space="0" w:color="auto"/>
        <w:bottom w:val="none" w:sz="0" w:space="0" w:color="auto"/>
        <w:right w:val="none" w:sz="0" w:space="0" w:color="auto"/>
      </w:divBdr>
    </w:div>
    <w:div w:id="1331563192">
      <w:bodyDiv w:val="1"/>
      <w:marLeft w:val="0"/>
      <w:marRight w:val="0"/>
      <w:marTop w:val="0"/>
      <w:marBottom w:val="0"/>
      <w:divBdr>
        <w:top w:val="none" w:sz="0" w:space="0" w:color="auto"/>
        <w:left w:val="none" w:sz="0" w:space="0" w:color="auto"/>
        <w:bottom w:val="none" w:sz="0" w:space="0" w:color="auto"/>
        <w:right w:val="none" w:sz="0" w:space="0" w:color="auto"/>
      </w:divBdr>
    </w:div>
    <w:div w:id="1395471488">
      <w:bodyDiv w:val="1"/>
      <w:marLeft w:val="0"/>
      <w:marRight w:val="0"/>
      <w:marTop w:val="0"/>
      <w:marBottom w:val="0"/>
      <w:divBdr>
        <w:top w:val="none" w:sz="0" w:space="0" w:color="auto"/>
        <w:left w:val="none" w:sz="0" w:space="0" w:color="auto"/>
        <w:bottom w:val="none" w:sz="0" w:space="0" w:color="auto"/>
        <w:right w:val="none" w:sz="0" w:space="0" w:color="auto"/>
      </w:divBdr>
    </w:div>
    <w:div w:id="1420787141">
      <w:bodyDiv w:val="1"/>
      <w:marLeft w:val="0"/>
      <w:marRight w:val="0"/>
      <w:marTop w:val="0"/>
      <w:marBottom w:val="0"/>
      <w:divBdr>
        <w:top w:val="none" w:sz="0" w:space="0" w:color="auto"/>
        <w:left w:val="none" w:sz="0" w:space="0" w:color="auto"/>
        <w:bottom w:val="none" w:sz="0" w:space="0" w:color="auto"/>
        <w:right w:val="none" w:sz="0" w:space="0" w:color="auto"/>
      </w:divBdr>
    </w:div>
    <w:div w:id="1470634291">
      <w:bodyDiv w:val="1"/>
      <w:marLeft w:val="0"/>
      <w:marRight w:val="0"/>
      <w:marTop w:val="0"/>
      <w:marBottom w:val="0"/>
      <w:divBdr>
        <w:top w:val="none" w:sz="0" w:space="0" w:color="auto"/>
        <w:left w:val="none" w:sz="0" w:space="0" w:color="auto"/>
        <w:bottom w:val="none" w:sz="0" w:space="0" w:color="auto"/>
        <w:right w:val="none" w:sz="0" w:space="0" w:color="auto"/>
      </w:divBdr>
    </w:div>
    <w:div w:id="1511985316">
      <w:bodyDiv w:val="1"/>
      <w:marLeft w:val="0"/>
      <w:marRight w:val="0"/>
      <w:marTop w:val="0"/>
      <w:marBottom w:val="0"/>
      <w:divBdr>
        <w:top w:val="none" w:sz="0" w:space="0" w:color="auto"/>
        <w:left w:val="none" w:sz="0" w:space="0" w:color="auto"/>
        <w:bottom w:val="none" w:sz="0" w:space="0" w:color="auto"/>
        <w:right w:val="none" w:sz="0" w:space="0" w:color="auto"/>
      </w:divBdr>
    </w:div>
    <w:div w:id="1523350127">
      <w:bodyDiv w:val="1"/>
      <w:marLeft w:val="0"/>
      <w:marRight w:val="0"/>
      <w:marTop w:val="0"/>
      <w:marBottom w:val="0"/>
      <w:divBdr>
        <w:top w:val="none" w:sz="0" w:space="0" w:color="auto"/>
        <w:left w:val="none" w:sz="0" w:space="0" w:color="auto"/>
        <w:bottom w:val="none" w:sz="0" w:space="0" w:color="auto"/>
        <w:right w:val="none" w:sz="0" w:space="0" w:color="auto"/>
      </w:divBdr>
    </w:div>
    <w:div w:id="1595935134">
      <w:bodyDiv w:val="1"/>
      <w:marLeft w:val="0"/>
      <w:marRight w:val="0"/>
      <w:marTop w:val="0"/>
      <w:marBottom w:val="0"/>
      <w:divBdr>
        <w:top w:val="none" w:sz="0" w:space="0" w:color="auto"/>
        <w:left w:val="none" w:sz="0" w:space="0" w:color="auto"/>
        <w:bottom w:val="none" w:sz="0" w:space="0" w:color="auto"/>
        <w:right w:val="none" w:sz="0" w:space="0" w:color="auto"/>
      </w:divBdr>
    </w:div>
    <w:div w:id="1634630392">
      <w:bodyDiv w:val="1"/>
      <w:marLeft w:val="0"/>
      <w:marRight w:val="0"/>
      <w:marTop w:val="0"/>
      <w:marBottom w:val="0"/>
      <w:divBdr>
        <w:top w:val="none" w:sz="0" w:space="0" w:color="auto"/>
        <w:left w:val="none" w:sz="0" w:space="0" w:color="auto"/>
        <w:bottom w:val="none" w:sz="0" w:space="0" w:color="auto"/>
        <w:right w:val="none" w:sz="0" w:space="0" w:color="auto"/>
      </w:divBdr>
    </w:div>
    <w:div w:id="1703361152">
      <w:bodyDiv w:val="1"/>
      <w:marLeft w:val="0"/>
      <w:marRight w:val="0"/>
      <w:marTop w:val="0"/>
      <w:marBottom w:val="0"/>
      <w:divBdr>
        <w:top w:val="none" w:sz="0" w:space="0" w:color="auto"/>
        <w:left w:val="none" w:sz="0" w:space="0" w:color="auto"/>
        <w:bottom w:val="none" w:sz="0" w:space="0" w:color="auto"/>
        <w:right w:val="none" w:sz="0" w:space="0" w:color="auto"/>
      </w:divBdr>
    </w:div>
    <w:div w:id="1758594769">
      <w:bodyDiv w:val="1"/>
      <w:marLeft w:val="0"/>
      <w:marRight w:val="0"/>
      <w:marTop w:val="0"/>
      <w:marBottom w:val="0"/>
      <w:divBdr>
        <w:top w:val="none" w:sz="0" w:space="0" w:color="auto"/>
        <w:left w:val="none" w:sz="0" w:space="0" w:color="auto"/>
        <w:bottom w:val="none" w:sz="0" w:space="0" w:color="auto"/>
        <w:right w:val="none" w:sz="0" w:space="0" w:color="auto"/>
      </w:divBdr>
    </w:div>
    <w:div w:id="1836872413">
      <w:bodyDiv w:val="1"/>
      <w:marLeft w:val="0"/>
      <w:marRight w:val="0"/>
      <w:marTop w:val="0"/>
      <w:marBottom w:val="0"/>
      <w:divBdr>
        <w:top w:val="none" w:sz="0" w:space="0" w:color="auto"/>
        <w:left w:val="none" w:sz="0" w:space="0" w:color="auto"/>
        <w:bottom w:val="none" w:sz="0" w:space="0" w:color="auto"/>
        <w:right w:val="none" w:sz="0" w:space="0" w:color="auto"/>
      </w:divBdr>
    </w:div>
    <w:div w:id="1910771529">
      <w:bodyDiv w:val="1"/>
      <w:marLeft w:val="0"/>
      <w:marRight w:val="0"/>
      <w:marTop w:val="0"/>
      <w:marBottom w:val="0"/>
      <w:divBdr>
        <w:top w:val="none" w:sz="0" w:space="0" w:color="auto"/>
        <w:left w:val="none" w:sz="0" w:space="0" w:color="auto"/>
        <w:bottom w:val="none" w:sz="0" w:space="0" w:color="auto"/>
        <w:right w:val="none" w:sz="0" w:space="0" w:color="auto"/>
      </w:divBdr>
    </w:div>
    <w:div w:id="1916546630">
      <w:bodyDiv w:val="1"/>
      <w:marLeft w:val="0"/>
      <w:marRight w:val="0"/>
      <w:marTop w:val="0"/>
      <w:marBottom w:val="0"/>
      <w:divBdr>
        <w:top w:val="none" w:sz="0" w:space="0" w:color="auto"/>
        <w:left w:val="none" w:sz="0" w:space="0" w:color="auto"/>
        <w:bottom w:val="none" w:sz="0" w:space="0" w:color="auto"/>
        <w:right w:val="none" w:sz="0" w:space="0" w:color="auto"/>
      </w:divBdr>
    </w:div>
    <w:div w:id="1957329409">
      <w:bodyDiv w:val="1"/>
      <w:marLeft w:val="0"/>
      <w:marRight w:val="0"/>
      <w:marTop w:val="0"/>
      <w:marBottom w:val="0"/>
      <w:divBdr>
        <w:top w:val="none" w:sz="0" w:space="0" w:color="auto"/>
        <w:left w:val="none" w:sz="0" w:space="0" w:color="auto"/>
        <w:bottom w:val="none" w:sz="0" w:space="0" w:color="auto"/>
        <w:right w:val="none" w:sz="0" w:space="0" w:color="auto"/>
      </w:divBdr>
    </w:div>
    <w:div w:id="1976446701">
      <w:bodyDiv w:val="1"/>
      <w:marLeft w:val="0"/>
      <w:marRight w:val="0"/>
      <w:marTop w:val="0"/>
      <w:marBottom w:val="0"/>
      <w:divBdr>
        <w:top w:val="none" w:sz="0" w:space="0" w:color="auto"/>
        <w:left w:val="none" w:sz="0" w:space="0" w:color="auto"/>
        <w:bottom w:val="none" w:sz="0" w:space="0" w:color="auto"/>
        <w:right w:val="none" w:sz="0" w:space="0" w:color="auto"/>
      </w:divBdr>
    </w:div>
    <w:div w:id="199302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fifth-evaluation-round-preventing-corruption-and-promoting-integrity-i/1680aa89e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e.int/en/web/execution/german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udoc.echr.coe.i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nice.coe.int/webforms/documents/?pdf=CDL-AD(2023)020-e" TargetMode="External"/><Relationship Id="rId5" Type="http://schemas.openxmlformats.org/officeDocument/2006/relationships/webSettings" Target="webSettings.xml"/><Relationship Id="rId15" Type="http://schemas.openxmlformats.org/officeDocument/2006/relationships/hyperlink" Target="https://hudoc.echr.coe.int/" TargetMode="External"/><Relationship Id="rId10" Type="http://schemas.openxmlformats.org/officeDocument/2006/relationships/hyperlink" Target="mailto:christel.schurrer@coe.i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germany-2021-data-/1680ab89b8" TargetMode="External"/><Relationship Id="rId14" Type="http://schemas.openxmlformats.org/officeDocument/2006/relationships/hyperlink" Target="https://hudoc.echr.coe.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B0167-AEDD-4B30-811C-05E4C820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772</Words>
  <Characters>4246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2023-12-26T06:36:00Z</dcterms:created>
  <dcterms:modified xsi:type="dcterms:W3CDTF">2024-01-12T06:32:00Z</dcterms:modified>
</cp:coreProperties>
</file>